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CA" w:rsidRDefault="007634CA" w:rsidP="007634CA">
      <w:pPr>
        <w:spacing w:before="120"/>
        <w:jc w:val="left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67045" cy="451485"/>
            <wp:effectExtent l="0" t="0" r="0" b="5715"/>
            <wp:wrapTight wrapText="bothSides">
              <wp:wrapPolygon edited="0">
                <wp:start x="148" y="0"/>
                <wp:lineTo x="0" y="1823"/>
                <wp:lineTo x="0" y="10937"/>
                <wp:lineTo x="5765" y="14582"/>
                <wp:lineTo x="5839" y="20962"/>
                <wp:lineTo x="16335" y="20962"/>
                <wp:lineTo x="16409" y="20962"/>
                <wp:lineTo x="16926" y="14582"/>
                <wp:lineTo x="21509" y="11848"/>
                <wp:lineTo x="21509" y="9114"/>
                <wp:lineTo x="16483" y="0"/>
                <wp:lineTo x="148" y="0"/>
              </wp:wrapPolygon>
            </wp:wrapTight>
            <wp:docPr id="2" name="Bild 2" descr="grimmels-logo-neu_2011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immels-logo-neu_2011-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4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34CA" w:rsidRDefault="007634CA" w:rsidP="007634CA"/>
    <w:p w:rsidR="00F005C3" w:rsidRDefault="00F005C3" w:rsidP="00F005C3">
      <w:pPr>
        <w:rPr>
          <w:b/>
          <w:sz w:val="30"/>
        </w:rPr>
      </w:pPr>
    </w:p>
    <w:p w:rsidR="007634CA" w:rsidRPr="00F005C3" w:rsidRDefault="007634CA" w:rsidP="00F005C3">
      <w:pPr>
        <w:rPr>
          <w:rFonts w:ascii="Garamond" w:hAnsi="Garamond"/>
          <w:b/>
        </w:rPr>
      </w:pPr>
      <w:r w:rsidRPr="00F005C3">
        <w:rPr>
          <w:rFonts w:ascii="Garamond" w:hAnsi="Garamond"/>
          <w:b/>
        </w:rPr>
        <w:t>Schulcurriculum</w:t>
      </w:r>
      <w:r w:rsidR="00D61742" w:rsidRPr="00F005C3">
        <w:rPr>
          <w:rFonts w:ascii="Garamond" w:hAnsi="Garamond"/>
          <w:b/>
        </w:rPr>
        <w:t xml:space="preserve"> für das Fach Latein 5 und 6</w:t>
      </w:r>
      <w:r w:rsidRPr="00F005C3">
        <w:rPr>
          <w:rFonts w:ascii="Garamond" w:hAnsi="Garamond"/>
          <w:b/>
        </w:rPr>
        <w:tab/>
      </w:r>
      <w:r w:rsidRPr="00F005C3">
        <w:rPr>
          <w:rFonts w:ascii="Garamond" w:hAnsi="Garamond"/>
          <w:b/>
        </w:rPr>
        <w:tab/>
      </w:r>
      <w:r w:rsidRPr="00F005C3">
        <w:rPr>
          <w:rFonts w:ascii="Garamond" w:hAnsi="Garamond"/>
          <w:b/>
        </w:rPr>
        <w:tab/>
        <w:t>Stand: 11/2016</w:t>
      </w:r>
    </w:p>
    <w:p w:rsidR="007634CA" w:rsidRPr="00F005C3" w:rsidRDefault="007634CA" w:rsidP="007634CA">
      <w:pPr>
        <w:rPr>
          <w:rFonts w:ascii="Garamond" w:hAnsi="Garamond"/>
          <w:b/>
        </w:rPr>
      </w:pPr>
    </w:p>
    <w:tbl>
      <w:tblPr>
        <w:tblStyle w:val="Tabellenraster"/>
        <w:tblW w:w="15277" w:type="dxa"/>
        <w:tblLook w:val="04A0" w:firstRow="1" w:lastRow="0" w:firstColumn="1" w:lastColumn="0" w:noHBand="0" w:noVBand="1"/>
      </w:tblPr>
      <w:tblGrid>
        <w:gridCol w:w="7688"/>
        <w:gridCol w:w="3939"/>
        <w:gridCol w:w="3650"/>
      </w:tblGrid>
      <w:tr w:rsidR="007634CA" w:rsidRPr="00F005C3" w:rsidTr="007634CA">
        <w:tc>
          <w:tcPr>
            <w:tcW w:w="7688" w:type="dxa"/>
          </w:tcPr>
          <w:p w:rsidR="007634CA" w:rsidRPr="00F005C3" w:rsidRDefault="007634CA" w:rsidP="000F44BC">
            <w:pPr>
              <w:rPr>
                <w:rFonts w:ascii="Garamond" w:hAnsi="Garamond"/>
                <w:b/>
              </w:rPr>
            </w:pPr>
            <w:r w:rsidRPr="00F005C3">
              <w:rPr>
                <w:rFonts w:ascii="Garamond" w:hAnsi="Garamond"/>
                <w:b/>
              </w:rPr>
              <w:t>Schulcurriculum „</w:t>
            </w:r>
            <w:proofErr w:type="spellStart"/>
            <w:r w:rsidRPr="00F005C3">
              <w:rPr>
                <w:rFonts w:ascii="Garamond" w:hAnsi="Garamond"/>
                <w:b/>
              </w:rPr>
              <w:t>Grimmels</w:t>
            </w:r>
            <w:r w:rsidR="00C8241D">
              <w:rPr>
                <w:rFonts w:ascii="Garamond" w:hAnsi="Garamond"/>
                <w:b/>
              </w:rPr>
              <w:t>hausengymnasium</w:t>
            </w:r>
            <w:proofErr w:type="spellEnd"/>
            <w:r w:rsidRPr="00F005C3">
              <w:rPr>
                <w:rFonts w:ascii="Garamond" w:hAnsi="Garamond"/>
                <w:b/>
              </w:rPr>
              <w:t>“</w:t>
            </w:r>
          </w:p>
          <w:p w:rsidR="007634CA" w:rsidRPr="00F005C3" w:rsidRDefault="007634CA" w:rsidP="000F44BC">
            <w:pPr>
              <w:rPr>
                <w:rFonts w:ascii="Garamond" w:hAnsi="Garamond"/>
                <w:b/>
              </w:rPr>
            </w:pPr>
            <w:r w:rsidRPr="00F005C3">
              <w:rPr>
                <w:rFonts w:ascii="Garamond" w:hAnsi="Garamond"/>
                <w:b/>
              </w:rPr>
              <w:t>(Vertiefungen von Inhalten und Kompetenzen)</w:t>
            </w:r>
          </w:p>
        </w:tc>
        <w:tc>
          <w:tcPr>
            <w:tcW w:w="3939" w:type="dxa"/>
            <w:shd w:val="clear" w:color="auto" w:fill="F2F2F2" w:themeFill="background1" w:themeFillShade="F2"/>
          </w:tcPr>
          <w:p w:rsidR="007634CA" w:rsidRPr="00F005C3" w:rsidRDefault="007634CA" w:rsidP="000F44BC">
            <w:pPr>
              <w:jc w:val="left"/>
              <w:rPr>
                <w:rFonts w:ascii="Garamond" w:hAnsi="Garamond"/>
                <w:b/>
              </w:rPr>
            </w:pPr>
            <w:r w:rsidRPr="00F005C3">
              <w:rPr>
                <w:rFonts w:ascii="Garamond" w:hAnsi="Garamond"/>
                <w:b/>
              </w:rPr>
              <w:t>Anknüpfungen an Bildungsplan Baden-Württemberg 2016</w:t>
            </w:r>
          </w:p>
          <w:p w:rsidR="007634CA" w:rsidRPr="00F005C3" w:rsidRDefault="007634CA" w:rsidP="000F44BC">
            <w:pPr>
              <w:rPr>
                <w:rFonts w:ascii="Garamond" w:hAnsi="Garamond"/>
                <w:b/>
              </w:rPr>
            </w:pPr>
            <w:r w:rsidRPr="00F005C3">
              <w:rPr>
                <w:rFonts w:ascii="Garamond" w:hAnsi="Garamond"/>
                <w:b/>
              </w:rPr>
              <w:t>(Kerncurriculum)</w:t>
            </w:r>
          </w:p>
        </w:tc>
        <w:tc>
          <w:tcPr>
            <w:tcW w:w="3650" w:type="dxa"/>
          </w:tcPr>
          <w:p w:rsidR="007634CA" w:rsidRPr="00F005C3" w:rsidRDefault="007634CA" w:rsidP="000F44BC">
            <w:pPr>
              <w:jc w:val="left"/>
              <w:rPr>
                <w:rFonts w:ascii="Garamond" w:hAnsi="Garamond"/>
                <w:b/>
              </w:rPr>
            </w:pPr>
            <w:r w:rsidRPr="00F005C3">
              <w:rPr>
                <w:rFonts w:ascii="Garamond" w:hAnsi="Garamond"/>
                <w:b/>
              </w:rPr>
              <w:t>Anknüpfungen an Leitperspektiven des Bildungsplans 2016</w:t>
            </w:r>
          </w:p>
        </w:tc>
      </w:tr>
      <w:tr w:rsidR="007634CA" w:rsidRPr="00F005C3" w:rsidTr="007634CA">
        <w:tc>
          <w:tcPr>
            <w:tcW w:w="7688" w:type="dxa"/>
          </w:tcPr>
          <w:p w:rsidR="00D61742" w:rsidRPr="00F005C3" w:rsidRDefault="00D61742" w:rsidP="00D61742">
            <w:pPr>
              <w:rPr>
                <w:rFonts w:ascii="Garamond" w:hAnsi="Garamond"/>
              </w:rPr>
            </w:pPr>
            <w:r w:rsidRPr="00F005C3">
              <w:rPr>
                <w:rFonts w:ascii="Garamond" w:hAnsi="Garamond"/>
              </w:rPr>
              <w:t>- Erarbeiten lateinischer Spielszenen (zum Beispiel für den Tag der offenen Türen)</w:t>
            </w:r>
          </w:p>
          <w:p w:rsidR="00D61742" w:rsidRPr="00F005C3" w:rsidRDefault="00D61742" w:rsidP="00D61742">
            <w:pPr>
              <w:rPr>
                <w:rFonts w:ascii="Garamond" w:hAnsi="Garamond"/>
              </w:rPr>
            </w:pPr>
            <w:r w:rsidRPr="00F005C3">
              <w:rPr>
                <w:rFonts w:ascii="Garamond" w:hAnsi="Garamond"/>
              </w:rPr>
              <w:t>- Verbreitung der lateinischen Sprache und Ausbreitung des römischen Reichs</w:t>
            </w:r>
          </w:p>
          <w:p w:rsidR="007634CA" w:rsidRPr="00F005C3" w:rsidRDefault="007634CA" w:rsidP="000F44BC">
            <w:pPr>
              <w:jc w:val="left"/>
              <w:rPr>
                <w:rFonts w:ascii="Garamond" w:hAnsi="Garamond"/>
                <w:b/>
              </w:rPr>
            </w:pPr>
          </w:p>
        </w:tc>
        <w:tc>
          <w:tcPr>
            <w:tcW w:w="3939" w:type="dxa"/>
            <w:shd w:val="clear" w:color="auto" w:fill="F2F2F2" w:themeFill="background1" w:themeFillShade="F2"/>
          </w:tcPr>
          <w:p w:rsidR="00D61742" w:rsidRPr="00F005C3" w:rsidRDefault="00D61742" w:rsidP="00D61742">
            <w:pPr>
              <w:rPr>
                <w:rFonts w:ascii="Garamond" w:hAnsi="Garamond"/>
              </w:rPr>
            </w:pPr>
            <w:r w:rsidRPr="00F005C3">
              <w:rPr>
                <w:rFonts w:ascii="Garamond" w:hAnsi="Garamond"/>
              </w:rPr>
              <w:t>Campus L. 1 bis L. 6</w:t>
            </w:r>
          </w:p>
          <w:p w:rsidR="00D61742" w:rsidRPr="00F005C3" w:rsidRDefault="00D61742" w:rsidP="00D61742">
            <w:pPr>
              <w:rPr>
                <w:rFonts w:ascii="Garamond" w:hAnsi="Garamond"/>
              </w:rPr>
            </w:pPr>
            <w:r w:rsidRPr="00F005C3">
              <w:rPr>
                <w:rFonts w:ascii="Garamond" w:hAnsi="Garamond"/>
              </w:rPr>
              <w:t>- Wortschatz: etwa 250 Wörter</w:t>
            </w:r>
          </w:p>
          <w:p w:rsidR="00D61742" w:rsidRPr="00F005C3" w:rsidRDefault="00D61742" w:rsidP="00D61742">
            <w:pPr>
              <w:rPr>
                <w:rFonts w:ascii="Garamond" w:hAnsi="Garamond"/>
              </w:rPr>
            </w:pPr>
            <w:r w:rsidRPr="00F005C3">
              <w:rPr>
                <w:rFonts w:ascii="Garamond" w:hAnsi="Garamond"/>
              </w:rPr>
              <w:t xml:space="preserve">- Satzlehre: </w:t>
            </w:r>
            <w:proofErr w:type="spellStart"/>
            <w:r w:rsidRPr="00F005C3">
              <w:rPr>
                <w:rFonts w:ascii="Garamond" w:hAnsi="Garamond"/>
              </w:rPr>
              <w:t>AcI</w:t>
            </w:r>
            <w:proofErr w:type="spellEnd"/>
            <w:r w:rsidRPr="00F005C3">
              <w:rPr>
                <w:rFonts w:ascii="Garamond" w:hAnsi="Garamond"/>
              </w:rPr>
              <w:t xml:space="preserve"> u.a.</w:t>
            </w:r>
          </w:p>
          <w:p w:rsidR="00D61742" w:rsidRPr="00F005C3" w:rsidRDefault="00D61742" w:rsidP="00D61742">
            <w:pPr>
              <w:rPr>
                <w:rFonts w:ascii="Garamond" w:hAnsi="Garamond"/>
              </w:rPr>
            </w:pPr>
            <w:r w:rsidRPr="00F005C3">
              <w:rPr>
                <w:rFonts w:ascii="Garamond" w:hAnsi="Garamond"/>
              </w:rPr>
              <w:t>- Formenlehre: e-Konjugation u.a., o-Deklination u.a.</w:t>
            </w:r>
          </w:p>
          <w:p w:rsidR="007634CA" w:rsidRPr="00F005C3" w:rsidRDefault="00D61742" w:rsidP="00D61742">
            <w:pPr>
              <w:rPr>
                <w:rFonts w:ascii="Garamond" w:hAnsi="Garamond"/>
              </w:rPr>
            </w:pPr>
            <w:r w:rsidRPr="00F005C3">
              <w:rPr>
                <w:rFonts w:ascii="Garamond" w:hAnsi="Garamond"/>
              </w:rPr>
              <w:t xml:space="preserve">- Texte und Literatur: </w:t>
            </w:r>
            <w:proofErr w:type="spellStart"/>
            <w:r w:rsidRPr="00F005C3">
              <w:rPr>
                <w:rFonts w:ascii="Garamond" w:hAnsi="Garamond"/>
              </w:rPr>
              <w:t>familia</w:t>
            </w:r>
            <w:proofErr w:type="spellEnd"/>
            <w:r w:rsidRPr="00F005C3">
              <w:rPr>
                <w:rFonts w:ascii="Garamond" w:hAnsi="Garamond"/>
              </w:rPr>
              <w:t>, Straßen, Topographie Roms, Forum Romanum; Religion (Windgott, Totenkult), Fortleben</w:t>
            </w:r>
          </w:p>
        </w:tc>
        <w:tc>
          <w:tcPr>
            <w:tcW w:w="3650" w:type="dxa"/>
          </w:tcPr>
          <w:p w:rsidR="00F005C3" w:rsidRPr="00F005C3" w:rsidRDefault="00261353" w:rsidP="00F005C3">
            <w:pPr>
              <w:jc w:val="left"/>
              <w:rPr>
                <w:rFonts w:ascii="Garamond" w:hAnsi="Garamond"/>
              </w:rPr>
            </w:pPr>
            <w:hyperlink r:id="rId6" w:history="1">
              <w:r w:rsidR="00F005C3" w:rsidRPr="00F005C3">
                <w:rPr>
                  <w:rFonts w:ascii="Garamond" w:hAnsi="Garamond"/>
                </w:rPr>
                <w:t xml:space="preserve">Geschlechtsspezifische Aspekte bei der Berufswahl, Familien- und Lebensplanung </w:t>
              </w:r>
            </w:hyperlink>
          </w:p>
          <w:p w:rsidR="00F005C3" w:rsidRPr="00F005C3" w:rsidRDefault="00F005C3" w:rsidP="00F005C3">
            <w:pPr>
              <w:jc w:val="left"/>
              <w:rPr>
                <w:rFonts w:ascii="Garamond" w:hAnsi="Garamond"/>
              </w:rPr>
            </w:pPr>
            <w:r w:rsidRPr="00F005C3">
              <w:rPr>
                <w:rFonts w:ascii="Garamond" w:hAnsi="Garamond"/>
              </w:rPr>
              <w:t>Bildung für Toleranz und Akzeptanz von Vielfalt</w:t>
            </w:r>
          </w:p>
          <w:p w:rsidR="00F005C3" w:rsidRPr="00F005C3" w:rsidRDefault="00F005C3" w:rsidP="000F44BC">
            <w:pPr>
              <w:jc w:val="left"/>
              <w:rPr>
                <w:rFonts w:ascii="Garamond" w:hAnsi="Garamond"/>
                <w:b/>
              </w:rPr>
            </w:pPr>
          </w:p>
        </w:tc>
      </w:tr>
      <w:tr w:rsidR="007634CA" w:rsidRPr="00F005C3" w:rsidTr="007634CA">
        <w:tc>
          <w:tcPr>
            <w:tcW w:w="7688" w:type="dxa"/>
          </w:tcPr>
          <w:p w:rsidR="00D61742" w:rsidRPr="00F005C3" w:rsidRDefault="00D61742" w:rsidP="00D61742">
            <w:pPr>
              <w:rPr>
                <w:rFonts w:ascii="Garamond" w:hAnsi="Garamond"/>
              </w:rPr>
            </w:pPr>
            <w:r w:rsidRPr="00F005C3">
              <w:rPr>
                <w:rFonts w:ascii="Garamond" w:hAnsi="Garamond"/>
              </w:rPr>
              <w:t>- Erarbeiten lateinischer Spielszenen (zum Beispiel für den Tag der offenen Türen)</w:t>
            </w:r>
          </w:p>
          <w:p w:rsidR="00D61742" w:rsidRPr="00F005C3" w:rsidRDefault="00D61742" w:rsidP="00D61742">
            <w:pPr>
              <w:rPr>
                <w:rFonts w:ascii="Garamond" w:hAnsi="Garamond"/>
              </w:rPr>
            </w:pPr>
            <w:r w:rsidRPr="00F005C3">
              <w:rPr>
                <w:rFonts w:ascii="Garamond" w:hAnsi="Garamond"/>
              </w:rPr>
              <w:t xml:space="preserve">- die Römer in der </w:t>
            </w:r>
            <w:proofErr w:type="spellStart"/>
            <w:r w:rsidRPr="00F005C3">
              <w:rPr>
                <w:rFonts w:ascii="Garamond" w:hAnsi="Garamond"/>
              </w:rPr>
              <w:t>Ortenau</w:t>
            </w:r>
            <w:proofErr w:type="spellEnd"/>
            <w:r w:rsidRPr="00F005C3">
              <w:rPr>
                <w:rFonts w:ascii="Garamond" w:hAnsi="Garamond"/>
              </w:rPr>
              <w:t xml:space="preserve">; Augusta </w:t>
            </w:r>
            <w:proofErr w:type="spellStart"/>
            <w:r w:rsidRPr="00F005C3">
              <w:rPr>
                <w:rFonts w:ascii="Garamond" w:hAnsi="Garamond"/>
              </w:rPr>
              <w:t>Raurica</w:t>
            </w:r>
            <w:proofErr w:type="spellEnd"/>
            <w:r w:rsidRPr="00F005C3">
              <w:rPr>
                <w:rFonts w:ascii="Garamond" w:hAnsi="Garamond"/>
              </w:rPr>
              <w:t xml:space="preserve"> (Fahrt mit Geschichte)</w:t>
            </w:r>
          </w:p>
          <w:p w:rsidR="007634CA" w:rsidRPr="00F005C3" w:rsidRDefault="007634CA" w:rsidP="00D61742">
            <w:pPr>
              <w:rPr>
                <w:rFonts w:ascii="Garamond" w:hAnsi="Garamond"/>
                <w:b/>
              </w:rPr>
            </w:pPr>
          </w:p>
        </w:tc>
        <w:tc>
          <w:tcPr>
            <w:tcW w:w="3939" w:type="dxa"/>
            <w:shd w:val="clear" w:color="auto" w:fill="F2F2F2" w:themeFill="background1" w:themeFillShade="F2"/>
          </w:tcPr>
          <w:p w:rsidR="00D61742" w:rsidRPr="00F005C3" w:rsidRDefault="00D61742" w:rsidP="00D61742">
            <w:pPr>
              <w:rPr>
                <w:rFonts w:ascii="Garamond" w:hAnsi="Garamond"/>
              </w:rPr>
            </w:pPr>
            <w:r w:rsidRPr="00F005C3">
              <w:rPr>
                <w:rFonts w:ascii="Garamond" w:hAnsi="Garamond"/>
              </w:rPr>
              <w:t>Campus L. 7 bis L. 12</w:t>
            </w:r>
          </w:p>
          <w:p w:rsidR="00D61742" w:rsidRPr="00F005C3" w:rsidRDefault="00D61742" w:rsidP="00D61742">
            <w:pPr>
              <w:rPr>
                <w:rFonts w:ascii="Garamond" w:hAnsi="Garamond"/>
              </w:rPr>
            </w:pPr>
            <w:r w:rsidRPr="00F005C3">
              <w:rPr>
                <w:rFonts w:ascii="Garamond" w:hAnsi="Garamond"/>
              </w:rPr>
              <w:t>- Wortschatz: etwa 500 Wörter</w:t>
            </w:r>
          </w:p>
          <w:p w:rsidR="00D61742" w:rsidRPr="00F005C3" w:rsidRDefault="00D61742" w:rsidP="00D61742">
            <w:pPr>
              <w:rPr>
                <w:rFonts w:ascii="Garamond" w:hAnsi="Garamond"/>
              </w:rPr>
            </w:pPr>
            <w:r w:rsidRPr="00F005C3">
              <w:rPr>
                <w:rFonts w:ascii="Garamond" w:hAnsi="Garamond"/>
              </w:rPr>
              <w:t xml:space="preserve">- Satzlehre: </w:t>
            </w:r>
            <w:proofErr w:type="spellStart"/>
            <w:r w:rsidRPr="00F005C3">
              <w:rPr>
                <w:rFonts w:ascii="Garamond" w:hAnsi="Garamond"/>
              </w:rPr>
              <w:t>AcI</w:t>
            </w:r>
            <w:proofErr w:type="spellEnd"/>
            <w:r w:rsidRPr="00F005C3">
              <w:rPr>
                <w:rFonts w:ascii="Garamond" w:hAnsi="Garamond"/>
              </w:rPr>
              <w:t xml:space="preserve"> (nicht PC)</w:t>
            </w:r>
          </w:p>
          <w:p w:rsidR="00D61742" w:rsidRPr="00F005C3" w:rsidRDefault="00D61742" w:rsidP="00D61742">
            <w:pPr>
              <w:rPr>
                <w:rFonts w:ascii="Garamond" w:hAnsi="Garamond"/>
              </w:rPr>
            </w:pPr>
            <w:r w:rsidRPr="00F005C3">
              <w:rPr>
                <w:rFonts w:ascii="Garamond" w:hAnsi="Garamond"/>
              </w:rPr>
              <w:t xml:space="preserve">- Formenlehre: </w:t>
            </w:r>
            <w:proofErr w:type="spellStart"/>
            <w:r w:rsidRPr="00F005C3">
              <w:rPr>
                <w:rFonts w:ascii="Garamond" w:hAnsi="Garamond"/>
              </w:rPr>
              <w:t>is</w:t>
            </w:r>
            <w:proofErr w:type="spellEnd"/>
            <w:r w:rsidRPr="00F005C3">
              <w:rPr>
                <w:rFonts w:ascii="Garamond" w:hAnsi="Garamond"/>
              </w:rPr>
              <w:t xml:space="preserve">, </w:t>
            </w:r>
            <w:proofErr w:type="spellStart"/>
            <w:r w:rsidRPr="00F005C3">
              <w:rPr>
                <w:rFonts w:ascii="Garamond" w:hAnsi="Garamond"/>
              </w:rPr>
              <w:t>ea</w:t>
            </w:r>
            <w:proofErr w:type="spellEnd"/>
            <w:r w:rsidRPr="00F005C3">
              <w:rPr>
                <w:rFonts w:ascii="Garamond" w:hAnsi="Garamond"/>
              </w:rPr>
              <w:t xml:space="preserve">, </w:t>
            </w:r>
            <w:proofErr w:type="spellStart"/>
            <w:r w:rsidRPr="00F005C3">
              <w:rPr>
                <w:rFonts w:ascii="Garamond" w:hAnsi="Garamond"/>
              </w:rPr>
              <w:t>id</w:t>
            </w:r>
            <w:proofErr w:type="spellEnd"/>
            <w:r w:rsidRPr="00F005C3">
              <w:rPr>
                <w:rFonts w:ascii="Garamond" w:hAnsi="Garamond"/>
              </w:rPr>
              <w:t xml:space="preserve"> u.a.</w:t>
            </w:r>
          </w:p>
          <w:p w:rsidR="00D61742" w:rsidRPr="00F005C3" w:rsidRDefault="00D61742" w:rsidP="00D61742">
            <w:pPr>
              <w:rPr>
                <w:rFonts w:ascii="Garamond" w:hAnsi="Garamond"/>
              </w:rPr>
            </w:pPr>
            <w:r w:rsidRPr="00F005C3">
              <w:rPr>
                <w:rFonts w:ascii="Garamond" w:hAnsi="Garamond"/>
              </w:rPr>
              <w:t>- Texte und Literatur: antike Götter; Religion (Unterwelt, Vogelschau); Mythen, Fortleben</w:t>
            </w:r>
          </w:p>
          <w:p w:rsidR="007634CA" w:rsidRPr="00F005C3" w:rsidRDefault="007634CA" w:rsidP="000F44BC">
            <w:pPr>
              <w:jc w:val="left"/>
              <w:rPr>
                <w:rFonts w:ascii="Garamond" w:hAnsi="Garamond"/>
                <w:b/>
              </w:rPr>
            </w:pPr>
          </w:p>
        </w:tc>
        <w:tc>
          <w:tcPr>
            <w:tcW w:w="3650" w:type="dxa"/>
          </w:tcPr>
          <w:p w:rsidR="00F005C3" w:rsidRPr="00F005C3" w:rsidRDefault="00F005C3" w:rsidP="00F005C3">
            <w:pPr>
              <w:jc w:val="left"/>
              <w:rPr>
                <w:rFonts w:ascii="Garamond" w:hAnsi="Garamond"/>
              </w:rPr>
            </w:pPr>
            <w:r w:rsidRPr="00F005C3">
              <w:rPr>
                <w:rFonts w:ascii="Garamond" w:hAnsi="Garamond"/>
              </w:rPr>
              <w:t>Formen interkulturellen und interreligiösen Dialogs</w:t>
            </w:r>
          </w:p>
          <w:p w:rsidR="007634CA" w:rsidRPr="00F005C3" w:rsidRDefault="007634CA" w:rsidP="000F44BC">
            <w:pPr>
              <w:jc w:val="left"/>
              <w:rPr>
                <w:rFonts w:ascii="Garamond" w:hAnsi="Garamond"/>
                <w:b/>
              </w:rPr>
            </w:pPr>
          </w:p>
        </w:tc>
      </w:tr>
    </w:tbl>
    <w:p w:rsidR="007634CA" w:rsidRDefault="007634CA" w:rsidP="007634CA">
      <w:pPr>
        <w:rPr>
          <w:b/>
          <w:sz w:val="30"/>
        </w:rPr>
      </w:pPr>
    </w:p>
    <w:p w:rsidR="007634CA" w:rsidRDefault="007634CA" w:rsidP="007634CA">
      <w:pPr>
        <w:rPr>
          <w:b/>
          <w:sz w:val="30"/>
        </w:rPr>
      </w:pPr>
    </w:p>
    <w:p w:rsidR="007634CA" w:rsidRPr="00572393" w:rsidRDefault="007634CA" w:rsidP="007634CA">
      <w:pPr>
        <w:rPr>
          <w:b/>
          <w:sz w:val="30"/>
        </w:rPr>
      </w:pPr>
    </w:p>
    <w:p w:rsidR="00A501DB" w:rsidRDefault="00A501DB"/>
    <w:sectPr w:rsidR="00A501DB" w:rsidSect="0057239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21ECF"/>
    <w:multiLevelType w:val="hybridMultilevel"/>
    <w:tmpl w:val="5980F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CA"/>
    <w:rsid w:val="00261353"/>
    <w:rsid w:val="007634CA"/>
    <w:rsid w:val="00A501DB"/>
    <w:rsid w:val="00C761B6"/>
    <w:rsid w:val="00C8241D"/>
    <w:rsid w:val="00D61742"/>
    <w:rsid w:val="00F0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01BE5-14B0-4CCD-AB68-63099B37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34CA"/>
    <w:pPr>
      <w:spacing w:after="0" w:line="240" w:lineRule="auto"/>
      <w:jc w:val="both"/>
    </w:pPr>
    <w:rPr>
      <w:rFonts w:ascii="Helvetica" w:eastAsia="Times New Roman" w:hAnsi="Helvetic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34CA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F005C3"/>
    <w:rPr>
      <w:color w:val="0000FF"/>
      <w:u w:val="single"/>
    </w:rPr>
  </w:style>
  <w:style w:type="character" w:customStyle="1" w:styleId="ls-tk-title">
    <w:name w:val="ls-tk-title"/>
    <w:basedOn w:val="Absatz-Standardschriftart"/>
    <w:rsid w:val="00F005C3"/>
  </w:style>
  <w:style w:type="character" w:customStyle="1" w:styleId="ls-b-open">
    <w:name w:val="ls-b-open"/>
    <w:basedOn w:val="Absatz-Standardschriftart"/>
    <w:rsid w:val="00F00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Steen-Tolle</dc:creator>
  <cp:lastModifiedBy>Steen-Tolle</cp:lastModifiedBy>
  <cp:revision>2</cp:revision>
  <cp:lastPrinted>2016-11-05T10:24:00Z</cp:lastPrinted>
  <dcterms:created xsi:type="dcterms:W3CDTF">2017-08-03T16:41:00Z</dcterms:created>
  <dcterms:modified xsi:type="dcterms:W3CDTF">2017-08-03T16:41:00Z</dcterms:modified>
</cp:coreProperties>
</file>